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4E79"/>
          <w:sz w:val="40"/>
          <w:szCs w:val="40"/>
        </w:rPr>
        <w:t xml:space="preserve">Rezumatul elementelor principale</w:t>
      </w:r>
    </w:p>
    <w:p>
      <w:pPr>
        <w:spacing w:after="40"/>
      </w:pPr>
      <w:r>
        <w:rPr>
          <w:b/>
          <w:bCs/>
          <w:sz w:val="26"/>
          <w:szCs w:val="26"/>
        </w:rPr>
        <w:t xml:space="preserve">Ghidul Solicitantului – Instalații autonome (stand-alone) de stocare în baterii a energiei electrice</w:t>
      </w:r>
    </w:p>
    <w:p>
      <w:pPr>
        <w:pBdr>
          <w:bottom w:val="single" w:color="1F4E79" w:sz="6" w:space="4"/>
        </w:pBdr>
        <w:spacing w:after="240"/>
      </w:pPr>
      <w:r>
        <w:rPr>
          <w:i/>
          <w:iCs/>
          <w:color w:val="595959"/>
          <w:sz w:val="20"/>
          <w:szCs w:val="20"/>
        </w:rPr>
        <w:t xml:space="preserve">Fondul pentru modernizare (FM) · Programul-cheie 1: Surse regenerabile de energie și stocarea energiei · Draft 21.05.2026</w:t>
      </w:r>
    </w:p>
    <w:p>
      <w:pPr>
        <w:pStyle w:val="Heading1"/>
      </w:pPr>
      <w:r>
        <w:t xml:space="preserve">1. Cadrul general și obiectul finanțării</w:t>
      </w:r>
    </w:p>
    <w:p>
      <w:pPr>
        <w:spacing w:after="120"/>
        <w:jc w:val="both"/>
      </w:pPr>
      <w:r>
        <w:t xml:space="preserve">Ghidul a fost elaborat de </w:t>
      </w:r>
      <w:r>
        <w:rPr>
          <w:b/>
          <w:bCs/>
        </w:rPr>
        <w:t xml:space="preserve">Ministerul Energiei</w:t>
      </w:r>
      <w:r>
        <w:t xml:space="preserve"> pentru sprijinirea investițiilor în </w:t>
      </w:r>
      <w:r>
        <w:rPr>
          <w:b/>
          <w:bCs/>
        </w:rPr>
        <w:t xml:space="preserve">instalații autonome (stand-alone) de stocare în baterii a energiei electrice</w:t>
      </w:r>
      <w:r>
        <w:t xml:space="preserve">, finanțate din </w:t>
      </w:r>
      <w:r>
        <w:rPr>
          <w:b/>
          <w:bCs/>
        </w:rPr>
        <w:t xml:space="preserve">Fondul pentru modernizare (FM)</w:t>
      </w:r>
      <w:r>
        <w:t xml:space="preserve">, în cadrul Programului-cheie 1 „Surse regenerabile de energie și stocarea energiei”. Se finanțează exclusiv </w:t>
      </w:r>
      <w:r>
        <w:rPr>
          <w:b/>
          <w:bCs/>
        </w:rPr>
        <w:t xml:space="preserve">instalații noi</w:t>
      </w:r>
      <w:r>
        <w:t xml:space="preserve">, conectate la liniile de transport sau de distribuție, indiferent de nivelul de tensiune.</w:t>
      </w:r>
    </w:p>
    <w:p>
      <w:pPr>
        <w:spacing w:after="120"/>
        <w:jc w:val="both"/>
      </w:pPr>
      <w:r>
        <w:t xml:space="preserve">Ținta apelului este o capacitate totală instalată de </w:t>
      </w:r>
      <w:r>
        <w:rPr>
          <w:b/>
          <w:bCs/>
        </w:rPr>
        <w:t xml:space="preserve">minimum 2.174 MWh</w:t>
      </w:r>
      <w:r>
        <w:t xml:space="preserve">, în contextul obiectivelor PNIESC (1.200 MW / 2.400 MWh până în 2030 și 2.000 MW până în 2035).</w:t>
      </w:r>
    </w:p>
    <w:p>
      <w:pPr>
        <w:pStyle w:val="Heading1"/>
      </w:pPr>
      <w:r>
        <w:t xml:space="preserve">2. Buget, intensitate și plafoane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438"/>
      </w:tblGrid>
      <w:tr>
        <w:trPr>
          <w:tblHeader/>
        </w:trP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Element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Valoare / Condiție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Buget total al apelului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echivalentul în lei a 150.000.000 euro (nerambursabil)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Intensitate maximă a ajutorului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până la 100% din costurile eligibile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Plafon tehnic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maximum 69.000 euro/MWh de stocare instalat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Plafon per întreprindere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maximum 15.000.000 euro, indiferent de numărul de proiecte depuse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Contribuția beneficiarului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diferența până la valoarea totală, din surse proprii sau atrase (fără alt ajutor de stat pe aceleași cheltuieli)</w:t>
            </w:r>
          </w:p>
        </w:tc>
      </w:tr>
    </w:tbl>
    <w:p>
      <w:pPr>
        <w:pStyle w:val="Heading1"/>
      </w:pPr>
      <w:r>
        <w:t xml:space="preserve">3. Logica de selecție (esența procedurii)</w:t>
      </w:r>
    </w:p>
    <w:p>
      <w:pPr>
        <w:spacing w:after="120"/>
        <w:jc w:val="both"/>
      </w:pPr>
      <w:r>
        <w:t xml:space="preserve">Este o </w:t>
      </w:r>
      <w:r>
        <w:rPr>
          <w:b/>
          <w:bCs/>
        </w:rPr>
        <w:t xml:space="preserve">procedură de ofertare concurențială</w:t>
      </w:r>
      <w:r>
        <w:t xml:space="preserve"> cu un </w:t>
      </w:r>
      <w:r>
        <w:rPr>
          <w:b/>
          <w:bCs/>
        </w:rPr>
        <w:t xml:space="preserve">singur criteriu de departajare</w:t>
      </w:r>
      <w:r>
        <w:t xml:space="preserve">: valoarea ajutorului solicitat în </w:t>
      </w:r>
      <w:r>
        <w:rPr>
          <w:b/>
          <w:bCs/>
        </w:rPr>
        <w:t xml:space="preserve">euro/MWh instalat</w:t>
      </w:r>
      <w:r>
        <w:t xml:space="preserve">. Punctajul maxim (100 de puncte) revine cererii cu cea mai mică valoare/MWh, iar zero puncte celei cu cea mai mare valoare, cu descreștere liniară între ele.</w:t>
      </w:r>
    </w:p>
    <w:p>
      <w:pPr>
        <w:spacing w:after="120"/>
        <w:jc w:val="both"/>
      </w:pPr>
      <w:r>
        <w:t xml:space="preserve">Clasamentul provizoriu se publică pe site-ul ME, iar selecția se face descrescător până la epuizarea bugetului, cu o </w:t>
      </w:r>
      <w:r>
        <w:rPr>
          <w:b/>
          <w:bCs/>
        </w:rPr>
        <w:t xml:space="preserve">listă de rezervă în limita a 20%</w:t>
      </w:r>
      <w:r>
        <w:t xml:space="preserve"> din bugetul apelului.</w:t>
      </w:r>
    </w:p>
    <w:p>
      <w:pPr>
        <w:pStyle w:val="Heading1"/>
      </w:pPr>
      <w:r>
        <w:t xml:space="preserve">4. Cine poate aplica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Doar </w:t>
      </w:r>
      <w:r>
        <w:rPr>
          <w:b/>
          <w:bCs/>
        </w:rPr>
        <w:t xml:space="preserve">societăți</w:t>
      </w:r>
      <w:r>
        <w:t xml:space="preserve"> – microîntreprinderi, IMM-uri și întreprinderi mari, inclusiv </w:t>
      </w:r>
      <w:r>
        <w:rPr>
          <w:b/>
          <w:bCs/>
        </w:rPr>
        <w:t xml:space="preserve">nou-înființate</w:t>
      </w:r>
      <w:r>
        <w:t xml:space="preserve"> – legal constituite.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Activități CAEN din </w:t>
      </w:r>
      <w:r>
        <w:rPr>
          <w:b/>
          <w:bCs/>
        </w:rPr>
        <w:t xml:space="preserve">diviziunea 35</w:t>
      </w:r>
      <w:r>
        <w:t xml:space="preserve"> (producția/furnizarea de energie electrică).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Întreprinderile nou-înființate: capital social vărsat de </w:t>
      </w:r>
      <w:r>
        <w:rPr>
          <w:b/>
          <w:bCs/>
        </w:rPr>
        <w:t xml:space="preserve">minimum 100.000 lei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Depunere </w:t>
      </w:r>
      <w:r>
        <w:rPr>
          <w:b/>
          <w:bCs/>
        </w:rPr>
        <w:t xml:space="preserve">doar individual</w:t>
      </w:r>
      <w:r>
        <w:t xml:space="preserve"> – </w:t>
      </w:r>
      <w:r>
        <w:rPr>
          <w:b/>
          <w:bCs/>
        </w:rPr>
        <w:t xml:space="preserve">parteneriatele sunt excluse</w:t>
      </w:r>
      <w:r>
        <w:t xml:space="preserve">.</w:t>
      </w:r>
    </w:p>
    <w:p>
      <w:pPr>
        <w:pStyle w:val="Heading1"/>
      </w:pPr>
      <w:r>
        <w:t xml:space="preserve">5. Condiții tehnice obligatorii ale proiectului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Putere minimă </w:t>
      </w:r>
      <w:r>
        <w:rPr>
          <w:b/>
          <w:bCs/>
        </w:rPr>
        <w:t xml:space="preserve">1 MW/instalație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Raport capacitate/putere de </w:t>
      </w:r>
      <w:r>
        <w:rPr>
          <w:b/>
          <w:bCs/>
        </w:rPr>
        <w:t xml:space="preserve">cel puțin 2:1</w:t>
      </w:r>
      <w:r>
        <w:t xml:space="preserve"> (minimum 2 ore de funcționare la puterea instalată).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Studiu de fezabilitate conform </w:t>
      </w:r>
      <w:r>
        <w:rPr>
          <w:b/>
          <w:bCs/>
        </w:rPr>
        <w:t xml:space="preserve">HG 907/2016</w:t>
      </w:r>
      <w:r>
        <w:t xml:space="preserve">, nu mai vechi de 2 ani, elaborat cu personal autorizat ANRE.</w:t>
      </w:r>
    </w:p>
    <w:p>
      <w:pPr>
        <w:pStyle w:val="ListParagraph"/>
        <w:numPr>
          <w:ilvl w:val="0"/>
          <w:numId w:val="2"/>
        </w:numPr>
        <w:spacing w:after="80"/>
      </w:pPr>
      <w:r>
        <w:t xml:space="preserve">ATR (aviz tehnic de racordare) – obligatoriu cel târziu la </w:t>
      </w:r>
      <w:r>
        <w:rPr>
          <w:b/>
          <w:bCs/>
        </w:rPr>
        <w:t xml:space="preserve">prima cerere de plată</w:t>
      </w:r>
      <w:r>
        <w:t xml:space="preserve">.</w:t>
      </w:r>
    </w:p>
    <w:p>
      <w:pPr>
        <w:pStyle w:val="Heading1"/>
      </w:pPr>
      <w:r>
        <w:t xml:space="preserve">6. Ce NU este eligibil</w:t>
      </w:r>
    </w:p>
    <w:p>
      <w:pPr>
        <w:spacing w:after="120"/>
        <w:jc w:val="both"/>
      </w:pPr>
      <w:r>
        <w:rPr>
          <w:b/>
          <w:bCs/>
        </w:rPr>
        <w:t xml:space="preserve">Proiecte neeligibile: </w:t>
      </w:r>
      <w:r>
        <w:t xml:space="preserve">proiectele combinate (producere + stocare); bateriile pe bază de </w:t>
      </w:r>
      <w:r>
        <w:rPr>
          <w:b/>
          <w:bCs/>
        </w:rPr>
        <w:t xml:space="preserve">plumb, NiCd sau NiMH</w:t>
      </w:r>
      <w:r>
        <w:t xml:space="preserve">; înlocuirea unor instalații vechi de stocare; proiectele deja finanțate nerambursabil pe aceleași cheltuieli; proiectele în parteneriat.</w:t>
      </w:r>
    </w:p>
    <w:p>
      <w:pPr>
        <w:spacing w:after="120"/>
        <w:jc w:val="both"/>
      </w:pPr>
      <w:r>
        <w:rPr>
          <w:b/>
          <w:bCs/>
        </w:rPr>
        <w:t xml:space="preserve">Cheltuieli neeligibile (selectiv): </w:t>
      </w:r>
      <w:r>
        <w:t xml:space="preserve">TVA, achiziția terenului, leasing, branșamentul, lucrările pregătitoare (avize, autorizații, SF), managementul de proiect, consultanța, auditul financiar și publicitatea – ultimele </w:t>
      </w:r>
      <w:r>
        <w:rPr>
          <w:b/>
          <w:bCs/>
        </w:rPr>
        <w:t xml:space="preserve">obligatorii, dar nedeductibile</w:t>
      </w:r>
      <w:r>
        <w:t xml:space="preserve">.</w:t>
      </w:r>
    </w:p>
    <w:p>
      <w:pPr>
        <w:pStyle w:val="Heading1"/>
      </w:pPr>
      <w:r>
        <w:t xml:space="preserve">7. Ajutor de stat și principii</w:t>
      </w:r>
    </w:p>
    <w:p>
      <w:pPr>
        <w:spacing w:after="120"/>
        <w:jc w:val="both"/>
      </w:pPr>
      <w:r>
        <w:t xml:space="preserve">Schema se acordă în baza </w:t>
      </w:r>
      <w:r>
        <w:rPr>
          <w:b/>
          <w:bCs/>
        </w:rPr>
        <w:t xml:space="preserve">CISAF (C/2025/3602)</w:t>
      </w:r>
      <w:r>
        <w:t xml:space="preserve"> și a </w:t>
      </w:r>
      <w:r>
        <w:rPr>
          <w:b/>
          <w:bCs/>
        </w:rPr>
        <w:t xml:space="preserve">Deciziei CE C(2026)1588</w:t>
      </w:r>
      <w:r>
        <w:t xml:space="preserve">, cu respectarea regulilor privind: neîncadrarea în „întreprindere în dificultate”; </w:t>
      </w:r>
      <w:r>
        <w:rPr>
          <w:b/>
          <w:bCs/>
        </w:rPr>
        <w:t xml:space="preserve">efectul stimulativ</w:t>
      </w:r>
      <w:r>
        <w:t xml:space="preserve"> și principiul </w:t>
      </w:r>
      <w:r>
        <w:rPr>
          <w:b/>
          <w:bCs/>
        </w:rPr>
        <w:t xml:space="preserve">„demarării lucrărilor”</w:t>
      </w:r>
      <w:r>
        <w:t xml:space="preserve"> (activitățile nu pot începe înainte de depunerea cererii, cu excepția achiziției de teren și a lucrărilor pregătitoare); interdicția cumulului pe aceleași cheltuieli; și respectarea principiului </w:t>
      </w:r>
      <w:r>
        <w:rPr>
          <w:b/>
          <w:bCs/>
        </w:rPr>
        <w:t xml:space="preserve">DNSH</w:t>
      </w:r>
      <w:r>
        <w:t xml:space="preserve"> (taxonomie UE, minimum 70% reciclare a deșeurilor din construcții, restricții privind terenurile).</w:t>
      </w:r>
    </w:p>
    <w:p>
      <w:pPr>
        <w:pStyle w:val="Heading1"/>
      </w:pPr>
      <w:r>
        <w:t xml:space="preserve">8. Termene-cheie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5438"/>
      </w:tblGrid>
      <w:tr>
        <w:trPr>
          <w:tblHeader/>
        </w:trP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Element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Valoare / Condiție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Finalizare și punere în funcțiune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maximum 48 de luni de la data acordării ajutorului (semnarea contractului)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Penalități de întârziere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0,01%/zi + dobânda de politică monetară BNR; recuperare integrală în caz de nefinalizare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Durabilitate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exploatare minimum 5 ani de la punerea în funcțiune</w:t>
            </w:r>
          </w:p>
        </w:tc>
      </w:tr>
      <w:tr>
        <w:tc>
          <w:tcPr>
            <w:tcW w:type="dxa" w:w="4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Platformă de depunere</w:t>
            </w:r>
          </w:p>
        </w:tc>
        <w:tc>
          <w:tcPr>
            <w:tcW w:type="dxa" w:w="54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MySMIS 2021 (integral online)</w:t>
            </w:r>
          </w:p>
        </w:tc>
      </w:tr>
    </w:tbl>
    <w:p>
      <w:pPr>
        <w:pStyle w:val="Heading1"/>
      </w:pPr>
      <w:r>
        <w:t xml:space="preserve">9. Flux procedural</w:t>
      </w:r>
    </w:p>
    <w:p>
      <w:pPr>
        <w:spacing w:after="120"/>
        <w:jc w:val="both"/>
      </w:pPr>
      <w:r>
        <w:t xml:space="preserve">Evaluare preliminară tehnico-economică → conformitate administrativă și eligibilitate (sistem </w:t>
      </w:r>
      <w:r>
        <w:rPr>
          <w:b/>
          <w:bCs/>
        </w:rPr>
        <w:t xml:space="preserve">DA/NU</w:t>
      </w:r>
      <w:r>
        <w:t xml:space="preserve">) → evaluare tehnico-economică finală → </w:t>
      </w:r>
      <w:r>
        <w:rPr>
          <w:b/>
          <w:bCs/>
        </w:rPr>
        <w:t xml:space="preserve">precontractare</w:t>
      </w:r>
      <w:r>
        <w:t xml:space="preserve"> (30 de zile lucrătoare pentru documente) → </w:t>
      </w:r>
      <w:r>
        <w:rPr>
          <w:b/>
          <w:bCs/>
        </w:rPr>
        <w:t xml:space="preserve">contractare</w:t>
      </w:r>
      <w:r>
        <w:t xml:space="preserve"> (contract de adeziune, fără negociere).</w:t>
      </w:r>
    </w:p>
    <w:p>
      <w:pPr>
        <w:spacing w:after="120"/>
        <w:jc w:val="both"/>
      </w:pPr>
      <w:r>
        <w:t xml:space="preserve">Se pot solicita maximum </w:t>
      </w:r>
      <w:r>
        <w:rPr>
          <w:b/>
          <w:bCs/>
        </w:rPr>
        <w:t xml:space="preserve">2 clarificări</w:t>
      </w:r>
      <w:r>
        <w:t xml:space="preserve"> pe etapă (răspuns în 5, respectiv 10 zile lucrătoare). </w:t>
      </w:r>
      <w:r>
        <w:rPr>
          <w:b/>
          <w:bCs/>
        </w:rPr>
        <w:t xml:space="preserve">Contestații: </w:t>
      </w:r>
      <w:r>
        <w:t xml:space="preserve">în </w:t>
      </w:r>
      <w:r>
        <w:rPr>
          <w:b/>
          <w:bCs/>
        </w:rPr>
        <w:t xml:space="preserve">10 zile lucrătoare</w:t>
      </w:r>
      <w:r>
        <w:t xml:space="preserve"> de la comunicare, soluționate în </w:t>
      </w:r>
      <w:r>
        <w:rPr>
          <w:b/>
          <w:bCs/>
        </w:rPr>
        <w:t xml:space="preserve">20 de zile lucrătoare</w:t>
      </w:r>
      <w:r>
        <w:t xml:space="preserve">, decizie definitivă la nivelul ME.</w:t>
      </w:r>
    </w:p>
    <w:p>
      <w:pPr>
        <w:pStyle w:val="Heading1"/>
      </w:pPr>
      <w:r>
        <w:t xml:space="preserve">10. Mecanism financiar</w:t>
      </w:r>
    </w:p>
    <w:p>
      <w:pPr>
        <w:spacing w:after="120"/>
        <w:jc w:val="both"/>
      </w:pPr>
      <w:r>
        <w:t xml:space="preserve">Prefinanțare unică de </w:t>
      </w:r>
      <w:r>
        <w:rPr>
          <w:b/>
          <w:bCs/>
        </w:rPr>
        <w:t xml:space="preserve">20%</w:t>
      </w:r>
      <w:r>
        <w:t xml:space="preserve"> (cu scrisoare de garanție bancară); cereri de plată/rambursare însoțite de </w:t>
      </w:r>
      <w:r>
        <w:rPr>
          <w:b/>
          <w:bCs/>
        </w:rPr>
        <w:t xml:space="preserve">audit financiar independent</w:t>
      </w:r>
      <w:r>
        <w:t xml:space="preserve"> pentru fiecare cerere; autorizare în 30 de zile lucrătoare și plată în 20 de zile lucrătoare.</w:t>
      </w:r>
    </w:p>
    <w:p>
      <w:pPr>
        <w:pStyle w:val="Heading1"/>
      </w:pPr>
      <w:r>
        <w:t xml:space="preserve">11. Anexele pachetului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7738"/>
      </w:tblGrid>
      <w:tr>
        <w:trPr>
          <w:tblHeader/>
        </w:trP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Anexa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1F4E7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</w:rPr>
              <w:t xml:space="preserve">Denumire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1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Cererea de finanțare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2.1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Grila de verificare a conformității administrative și a eligibilității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2.2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Grila de evaluare tehnico-economică a cererilor de finanțare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3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Declarația unică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4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Categorii de cheltuieli indicative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5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Model contract de finanțare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6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Declarație „întreprindere în dificultate”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7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Bugetul proiectului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8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Declarație privind tipul întreprinderii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9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Declarație privind conflictul de interese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10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Model scrisoare de garanție bancară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11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Model scrisoare bancară / ipotecă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12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Declarație privind prelucrarea datelor cu caracter personal</w:t>
            </w:r>
          </w:p>
        </w:tc>
      </w:tr>
      <w:tr>
        <w:tc>
          <w:tcPr>
            <w:tcW w:type="dxa" w:w="1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/>
                <w:bCs/>
              </w:rPr>
              <w:t xml:space="preserve">Anexa 13 și 13.1</w:t>
            </w:r>
          </w:p>
        </w:tc>
        <w:tc>
          <w:tcPr>
            <w:tcW w:type="dxa" w:w="7738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2F7FC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left"/>
            </w:pPr>
            <w:r>
              <w:rPr>
                <w:b w:val="false"/>
                <w:bCs w:val="false"/>
              </w:rPr>
              <w:t xml:space="preserve">Declarație DNSH și autoevaluare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6"/>
        <w:szCs w:val="16"/>
      </w:rPr>
      <w:t xml:space="preserve">Rezumat Ghidul Solicitantului – stocare autonomă FM · pagina </w:t>
    </w:r>
    <w:r>
      <w:rPr>
        <w:color w:val="808080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60"/>
      <w:outlineLvl w:val="0"/>
    </w:pPr>
    <w:rPr>
      <w:rFonts w:ascii="Arial" w:cs="Arial" w:eastAsia="Arial" w:hAnsi="Arial"/>
      <w:b/>
      <w:bCs/>
      <w:color w:val="1F4E79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2E549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2026-06-04T09:28:57.390Z</dcterms:created>
  <dcterms:modified xsi:type="dcterms:W3CDTF">2026-06-04T09:28:57.390Z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